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A64CCC" w:rsidRDefault="00A42FAB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TEMATEKA NA CZERWIEC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: 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166C58">
        <w:rPr>
          <w:rFonts w:ascii="Times New Roman" w:hAnsi="Times New Roman"/>
          <w:b/>
          <w:bCs/>
          <w:kern w:val="0"/>
          <w:sz w:val="24"/>
          <w:szCs w:val="24"/>
        </w:rPr>
        <w:t>Dzień Dziecka</w:t>
      </w:r>
      <w:r w:rsidR="00166C58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>01-05.06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166C58">
        <w:rPr>
          <w:rFonts w:ascii="Times New Roman" w:hAnsi="Times New Roman"/>
          <w:b/>
          <w:bCs/>
          <w:kern w:val="0"/>
          <w:sz w:val="24"/>
          <w:szCs w:val="24"/>
        </w:rPr>
        <w:t xml:space="preserve">W świecie książek 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40317D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>08-12.06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9A3C55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3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166C58">
        <w:rPr>
          <w:rFonts w:ascii="Times New Roman" w:hAnsi="Times New Roman"/>
          <w:b/>
          <w:bCs/>
          <w:kern w:val="0"/>
          <w:sz w:val="24"/>
          <w:szCs w:val="24"/>
        </w:rPr>
        <w:t>Smaki i zapachy lata</w:t>
      </w:r>
      <w:r w:rsidR="00166C58"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E75303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>15-19.06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726417" w:rsidRDefault="00166C58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4. Wakacyjne przygody</w:t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310829">
        <w:rPr>
          <w:rFonts w:ascii="Times New Roman" w:hAnsi="Times New Roman"/>
          <w:b/>
          <w:bCs/>
          <w:kern w:val="0"/>
          <w:sz w:val="24"/>
          <w:szCs w:val="24"/>
        </w:rPr>
        <w:tab/>
        <w:t>22-26.06</w:t>
      </w:r>
      <w:r w:rsidR="00897C83">
        <w:rPr>
          <w:rFonts w:ascii="Times New Roman" w:hAnsi="Times New Roman"/>
          <w:b/>
          <w:bCs/>
          <w:kern w:val="0"/>
          <w:sz w:val="24"/>
          <w:szCs w:val="24"/>
        </w:rPr>
        <w:t>.2026r.</w:t>
      </w:r>
    </w:p>
    <w:p w:rsidR="00310829" w:rsidRPr="00A64CCC" w:rsidRDefault="00310829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5. Wielka wyprawa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  <w:t>29-30.06.2026r.</w:t>
      </w:r>
    </w:p>
    <w:p w:rsidR="005F053B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A64CCC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Zamierzenia  wychowawczo - </w:t>
      </w:r>
      <w:r w:rsidRPr="00A64CCC">
        <w:rPr>
          <w:rFonts w:ascii="Times New Roman" w:hAnsi="Times New Roman"/>
          <w:b/>
          <w:kern w:val="0"/>
          <w:sz w:val="24"/>
          <w:szCs w:val="24"/>
        </w:rPr>
        <w:t>dydaktyczne</w:t>
      </w:r>
    </w:p>
    <w:p w:rsidR="00A64CCC" w:rsidRDefault="00597C9A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na miesiąc czerwiec</w:t>
      </w:r>
      <w:r w:rsidR="00726417">
        <w:rPr>
          <w:rFonts w:ascii="Times New Roman" w:hAnsi="Times New Roman"/>
          <w:b/>
          <w:kern w:val="0"/>
          <w:sz w:val="24"/>
          <w:szCs w:val="24"/>
        </w:rPr>
        <w:t xml:space="preserve"> 2026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(cele główne):</w:t>
      </w:r>
    </w:p>
    <w:p w:rsidR="00597C9A" w:rsidRPr="00A64CCC" w:rsidRDefault="00597C9A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 xml:space="preserve">zapoznanie się z tematyką praw i obowiązków dzieci, kształtowanie świadomości korzystania ze swoich praw, rozwijanie umiejętności plastycznych, doskonalenie umiejętności współdziałania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w grupie i przestrzegania wspólnie ustalonych zasad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znaczenia słowa </w:t>
      </w:r>
      <w:r w:rsidRPr="00676F0C">
        <w:rPr>
          <w:rFonts w:ascii="Times New Roman" w:eastAsia="Times New Roman" w:hAnsi="Times New Roman"/>
          <w:i/>
          <w:iCs/>
          <w:color w:val="231F20"/>
          <w:kern w:val="0"/>
          <w:lang w:eastAsia="pl-PL"/>
        </w:rPr>
        <w:t>przyjaciel</w:t>
      </w: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 xml:space="preserve">, doskonalenie umiejętności przeprowadzania analizy sylabowej, wdrażanie do uważnego słuchania tekstu literackiego, doskonalenie percepcji wzrokowej,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zachęcanie do podejmowania wspólnych aktywności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>poznanie zasady działania magnesu, rozwijanie zdolności matematycznych, wzbudzanie ciekawości za sprawą aktywnego udziału w zabawach badawczych, przestrzeganie wspólnie ustalo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nych zasad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>poznanie nowej piosenki, kształtowanie poczucia rytmu oraz sprawności ruchowej, rozwijanie umiejętności budowania wypowiedzi, spostrzegawczości, kształtowanie umiejętności podejmo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wania wspólnych zabaw w grupie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zabaw dziecięcych popularnych w innych krajach, utrwalenie wiedzy na temat praw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676F0C">
        <w:rPr>
          <w:rFonts w:ascii="Times New Roman" w:eastAsia="Times New Roman" w:hAnsi="Times New Roman"/>
          <w:color w:val="231F20"/>
          <w:kern w:val="0"/>
          <w:lang w:eastAsia="pl-PL"/>
        </w:rPr>
        <w:t>i obowiązków dzieci, rozwijanie umiejętności plastycznych i konstrukcyjnych podczas wykonywania własnej zabawki, pobudzanie zmysłu dotyku, kształtowanie umiejętności współdziałania w grupie, kształ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towanie postawy wyrażającej szacunek w stosunku do innych kultur i ich przedstawicieli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poznanie sposobu dbania o książki, kształtowanie nawyku czytania książek i odkładania ich na półkę, uświadamianie wartości lektury w życiu człowieka, wdrażanie do poczucia odpowiedzial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ności za wspólne mienie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pojęć </w:t>
      </w:r>
      <w:r w:rsidRPr="00597C9A">
        <w:rPr>
          <w:rFonts w:ascii="Times New Roman" w:eastAsia="Times New Roman" w:hAnsi="Times New Roman"/>
          <w:i/>
          <w:iCs/>
          <w:color w:val="231F20"/>
          <w:kern w:val="0"/>
          <w:lang w:eastAsia="pl-PL"/>
        </w:rPr>
        <w:t>biblioteka</w:t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, </w:t>
      </w:r>
      <w:r w:rsidRPr="00597C9A">
        <w:rPr>
          <w:rFonts w:ascii="Times New Roman" w:eastAsia="Times New Roman" w:hAnsi="Times New Roman"/>
          <w:i/>
          <w:iCs/>
          <w:color w:val="231F20"/>
          <w:kern w:val="0"/>
          <w:lang w:eastAsia="pl-PL"/>
        </w:rPr>
        <w:t>księgarnia</w:t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 i różnic między tymi miejscami, ćwiczenie właściwego zachowania podczas wizyt w bibliotece, księgarni, doskonalenie umiejętności analizy i syntezy sylabowej, zapoznanie z akcją „Drugie życie książki”, uświadomienie wartości wynikającej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z obcowania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z książkami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poznanie procesu tworzenia książki i zawodów związanych z tym procesem, doskonalenie umiejętności przeliczania, rozwijanie wyobraźni i kreatywności, kształtowanie umiejętności uważ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nego słuchania tekstu literackiego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poznanie nowej piosenki, rozwijanie słuchu muzycznego, ćwiczenie umiejętności klasyfi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kowania książek ze względu na tematykę, kształtowanie umiejętności autoprezentacji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utrwalenie wiedzy dotyczącej tematu tygodnia, osób związanych z przygotowaniem książek, pobudzanie zmysłów, wdrażanie do samodzielnej pracy, uświadomienie korzyści płynących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z re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gularnej lektury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poznanie miejsca wakacyjnego wypoczynku, rozwijanie sprawności fizycznej, rozwijanie umiejętności kulturalnego komunikowania się, umacnianie poczucia przynależności do grupy przedszkol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nej, nauka radzenia sobie z emocjami dotyczącymi zbliżającej się przerwy wakacyjnej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lastRenderedPageBreak/>
        <w:t xml:space="preserve">poznanie znaczenia słowa sztuka, doskonalenie umiejętności odpowiadania na pytania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i budowania wypowiedzi, pobudzanie wyobraźni w kontakcie ze sztuką, uwrażliwianie na piękno przyrody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zjawiska przyrodniczego: tęczy, doskonalenie umiejętności matematycznych,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kształtowanie umiejętności dostrzegania emocjonalnej wartości przyrody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poznanie nowej piosenki o tematyce letniej, ćwiczenie umiejętności eksperymentowania głosem, wykorzystywanie oryginalnych technik podczas wykonywania prac plastycznych, rozpozna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wanie odgłosów przyrody, aktywne uczestniczenie w ćwiczeniach ruchowych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nazw, wyglądu i smaku owoców dojrzewających latem, utrwalenie wiedzy na temat smaków, zapachów lata, kształtowanie wrażliwości zmysłowej, rozwijanie kreatywności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i zainte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resowania otaczającym światem przyrody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597C9A" w:rsidRPr="009533CB" w:rsidRDefault="00597C9A" w:rsidP="00597C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 xml:space="preserve">rozwijanie koordynacji wzrokowo-ruchowej, utrwalenie wiedzy na temat zagrożeń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>i niebezpieczeństw związanych z wyjazdami wakacyjnymi oraz sposobów ich uniknięcia, kształtowanie umiejętności oceniania swojego zachowania i jego konsekwencji, doskonalenie znajomości i umiejętności bez</w:t>
      </w:r>
      <w:r w:rsidRPr="00597C9A">
        <w:rPr>
          <w:rFonts w:ascii="Times New Roman" w:eastAsia="Times New Roman" w:hAnsi="Times New Roman"/>
          <w:color w:val="231F20"/>
          <w:kern w:val="0"/>
          <w:lang w:eastAsia="pl-PL"/>
        </w:rPr>
        <w:t/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względnego przestrzegania zasad bezpieczeństwa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poszerzenie wiedzy na temat gór w Polsce, poznanie zasad bezpiecznego zachowania się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>w górach, rozwijanie logicznego myślenia, wzbogacanie słownika czynnego, kształtowanie umiejęt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ności zgodnej współpracy z rówieśnikami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>poszerzenie i utrwalenie wiedzy na temat zasad bezpiecznego wypoczynku nad morzem, rozwijanie znajomości figur geometrycznych, kształtowanie zdolności matematycznych, dosko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nalenie umiejętności zgodnej współpracy podczas zabawy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zasad bezpieczeństwa dotyczących uprawiania sportów wodnych, nabywanie 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br/>
      </w: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 xml:space="preserve">i utrwalanie wiedzy na temat geografii Polski, utrwalanie znajomości piosenki, kształtowanie umiejętności akompaniowania utworu, rozwijanie umiejętności grafomotorycznych, rozwijanie sprawności fizycznej,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uwrażliwianie na piękno przyrody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poznawanie nazw miejsc wakacyjnego wypoczynku, rozwijanie umiejętności plastycznych, wspomaganie rozwoju integracji sensorycznej, kształtowanie poczucia przynależności do grupy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przedszkolnej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charakterystycznych miejsc/budowli świata, rozwijanie świadomości różnorodności kulturowej, językowej ludzi żyjących na różnych kontynentach, poznanie pozawerbalnych sposobu na komunikowania się z osobami mówiącymi w innych językach, budowanie szacunku do ludzi, kultur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na innych kontynentach, ćwiczenie wczuwania się w emocje i uczucia innych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>wzbogacanie słownika o nazwy środków komunikacji lądowej, morskiej i powietrznej, rozwijanie percepcji słuchowej, wdrażanie do uważnego słuchania i rozumienia tekstów literackich, rozwijanie umiejętności swobodnego wypowiadania się na podany temat, rozwijanie zainteresowania po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dróżami, nauką płynącą z obcowania z przedstawicielami innych kultur, narodowości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>poznanie nazw zwierząt egzotycznych, doskonalenie umiejętności przeliczania i porównywania wielkości, ćwiczenie umiejętności rozróżniania uczuć przyjemnych i nieprzyjemnych, roz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wijanie empatii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E74B02" w:rsidRPr="009533CB" w:rsidRDefault="00E74B02" w:rsidP="00E74B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E74B02">
        <w:rPr>
          <w:rFonts w:ascii="Times New Roman" w:eastAsia="Times New Roman" w:hAnsi="Times New Roman"/>
          <w:color w:val="231F20"/>
          <w:kern w:val="0"/>
          <w:lang w:eastAsia="pl-PL"/>
        </w:rPr>
        <w:t xml:space="preserve">poznanie instrumentów i muzyki z różnych stron świata, rozwijanie wrażliwości muzycznej, koordynacji słuchowo-ruchowej, utrwalanie relacji rówieśniczych, kształtowanie postawy otwartości </w:t>
      </w: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na drugiego człowieka i kulturę, z której się wywodzi</w:t>
      </w:r>
      <w:r w:rsidR="009533CB">
        <w:rPr>
          <w:rFonts w:ascii="Times New Roman" w:eastAsia="Times New Roman" w:hAnsi="Times New Roman"/>
          <w:color w:val="231F20"/>
          <w:kern w:val="0"/>
          <w:lang w:eastAsia="pl-PL"/>
        </w:rPr>
        <w:t>,</w:t>
      </w:r>
    </w:p>
    <w:p w:rsidR="00323144" w:rsidRPr="009533CB" w:rsidRDefault="009533CB" w:rsidP="004078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</w:rPr>
      </w:pPr>
      <w:r w:rsidRPr="009533CB">
        <w:rPr>
          <w:rFonts w:ascii="Times New Roman" w:eastAsia="Times New Roman" w:hAnsi="Times New Roman"/>
          <w:color w:val="231F20"/>
          <w:kern w:val="0"/>
          <w:lang w:eastAsia="pl-PL"/>
        </w:rPr>
        <w:t>stymulowanie doznań sensorycznych za pomocą poznawania smaków, zapachów, rozwijanie sprawności manualnej, kształtowanie umiejętności radzenia sobie z emocjami podczas oczekiwania na swoją kolej w zabawie, rozbudzanie ciekawości świata.</w:t>
      </w:r>
    </w:p>
    <w:sectPr w:rsidR="00323144" w:rsidRPr="009533CB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5763F"/>
    <w:multiLevelType w:val="hybridMultilevel"/>
    <w:tmpl w:val="112E8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20"/>
  </w:num>
  <w:num w:numId="8">
    <w:abstractNumId w:val="27"/>
  </w:num>
  <w:num w:numId="9">
    <w:abstractNumId w:val="10"/>
  </w:num>
  <w:num w:numId="10">
    <w:abstractNumId w:val="11"/>
  </w:num>
  <w:num w:numId="11">
    <w:abstractNumId w:val="24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15"/>
  </w:num>
  <w:num w:numId="17">
    <w:abstractNumId w:val="14"/>
  </w:num>
  <w:num w:numId="18">
    <w:abstractNumId w:val="13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17"/>
  </w:num>
  <w:num w:numId="31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A31A2"/>
    <w:rsid w:val="000B08E7"/>
    <w:rsid w:val="000E1DF7"/>
    <w:rsid w:val="001062B6"/>
    <w:rsid w:val="001145DA"/>
    <w:rsid w:val="00166C58"/>
    <w:rsid w:val="00213D30"/>
    <w:rsid w:val="00310829"/>
    <w:rsid w:val="0031343E"/>
    <w:rsid w:val="00323144"/>
    <w:rsid w:val="00345748"/>
    <w:rsid w:val="003472C8"/>
    <w:rsid w:val="00354705"/>
    <w:rsid w:val="00366542"/>
    <w:rsid w:val="00400312"/>
    <w:rsid w:val="0040317D"/>
    <w:rsid w:val="00407828"/>
    <w:rsid w:val="00424CA2"/>
    <w:rsid w:val="0045073C"/>
    <w:rsid w:val="00454F29"/>
    <w:rsid w:val="00460611"/>
    <w:rsid w:val="0049209F"/>
    <w:rsid w:val="004D4222"/>
    <w:rsid w:val="00584CF8"/>
    <w:rsid w:val="00597C9A"/>
    <w:rsid w:val="005F053B"/>
    <w:rsid w:val="00631908"/>
    <w:rsid w:val="00646CD4"/>
    <w:rsid w:val="006B68A4"/>
    <w:rsid w:val="006E378D"/>
    <w:rsid w:val="00726417"/>
    <w:rsid w:val="00732839"/>
    <w:rsid w:val="00744919"/>
    <w:rsid w:val="007B6943"/>
    <w:rsid w:val="007C322B"/>
    <w:rsid w:val="007D4C9F"/>
    <w:rsid w:val="0080018A"/>
    <w:rsid w:val="00802006"/>
    <w:rsid w:val="008103DC"/>
    <w:rsid w:val="00861CC3"/>
    <w:rsid w:val="00862B3F"/>
    <w:rsid w:val="00870394"/>
    <w:rsid w:val="00897C83"/>
    <w:rsid w:val="008D493E"/>
    <w:rsid w:val="008D4E8B"/>
    <w:rsid w:val="008E06F3"/>
    <w:rsid w:val="00950119"/>
    <w:rsid w:val="009533CB"/>
    <w:rsid w:val="009A3C55"/>
    <w:rsid w:val="009C7690"/>
    <w:rsid w:val="009E6263"/>
    <w:rsid w:val="00A37F6E"/>
    <w:rsid w:val="00A42FAB"/>
    <w:rsid w:val="00A52B9C"/>
    <w:rsid w:val="00A64CCC"/>
    <w:rsid w:val="00AA1157"/>
    <w:rsid w:val="00AD52BE"/>
    <w:rsid w:val="00B1713E"/>
    <w:rsid w:val="00B63BC8"/>
    <w:rsid w:val="00BD7830"/>
    <w:rsid w:val="00BE03D2"/>
    <w:rsid w:val="00C77659"/>
    <w:rsid w:val="00CA287D"/>
    <w:rsid w:val="00CC09C2"/>
    <w:rsid w:val="00D06838"/>
    <w:rsid w:val="00D36BFB"/>
    <w:rsid w:val="00E60A1B"/>
    <w:rsid w:val="00E60F7C"/>
    <w:rsid w:val="00E74B02"/>
    <w:rsid w:val="00E75303"/>
    <w:rsid w:val="00EB6138"/>
    <w:rsid w:val="00EC491E"/>
    <w:rsid w:val="00EC66A3"/>
    <w:rsid w:val="00F2277E"/>
    <w:rsid w:val="00F5051B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F9FE4-2C71-42B2-A090-C35975BE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46</cp:revision>
  <cp:lastPrinted>2026-01-11T20:35:00Z</cp:lastPrinted>
  <dcterms:created xsi:type="dcterms:W3CDTF">2022-06-03T20:40:00Z</dcterms:created>
  <dcterms:modified xsi:type="dcterms:W3CDTF">2026-04-12T17:06:00Z</dcterms:modified>
</cp:coreProperties>
</file>